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exact"/>
        </w:trPr>
        <w:tc>
          <w:tcPr>
            <w:tcW w:w="9060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9060" w:type="dxa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  <w:lang w:val="en-US" w:eastAsia="zh-CN"/>
              </w:rPr>
              <w:t>校</w:t>
            </w: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教发〔2020〕</w:t>
            </w:r>
            <w:r>
              <w:rPr>
                <w:rFonts w:hint="eastAsia" w:ascii="仿宋_GB2312" w:hAnsi="Times New Roman" w:eastAsia="仿宋_GB2312" w:cs="Times New Roman"/>
                <w:sz w:val="3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号</w:t>
            </w:r>
            <w:bookmarkStart w:id="0" w:name="_GoBack"/>
            <w:bookmarkEnd w:id="0"/>
          </w:p>
        </w:tc>
      </w:tr>
    </w:tbl>
    <w:p>
      <w:pPr>
        <w:spacing w:line="360" w:lineRule="auto"/>
        <w:jc w:val="center"/>
        <w:rPr>
          <w:rFonts w:ascii="华文中宋" w:hAnsi="华文中宋" w:eastAsia="华文中宋" w:cs="华文中宋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80" w:after="760" w:line="240" w:lineRule="auto"/>
        <w:jc w:val="center"/>
        <w:rPr>
          <w:rFonts w:hint="eastAsia" w:eastAsia="宋体"/>
          <w:bCs/>
          <w:szCs w:val="44"/>
        </w:rPr>
      </w:pPr>
      <w:r>
        <w:rPr>
          <w:rFonts w:hint="eastAsia" w:eastAsia="宋体"/>
          <w:bCs/>
          <w:szCs w:val="44"/>
        </w:rPr>
        <w:t>关于公布南京邮电大学</w:t>
      </w:r>
      <w:r>
        <w:rPr>
          <w:rFonts w:hint="eastAsia" w:eastAsia="宋体"/>
          <w:bCs/>
          <w:szCs w:val="44"/>
          <w:lang w:val="en-US" w:eastAsia="zh-CN"/>
        </w:rPr>
        <w:t>“思政课程”与   “课程思政”教学</w:t>
      </w:r>
      <w:r>
        <w:rPr>
          <w:rFonts w:eastAsia="宋体"/>
          <w:bCs/>
          <w:szCs w:val="44"/>
        </w:rPr>
        <w:t>竞赛结果</w:t>
      </w:r>
      <w:r>
        <w:rPr>
          <w:rFonts w:hint="eastAsia" w:eastAsia="宋体"/>
          <w:bCs/>
          <w:szCs w:val="44"/>
        </w:rPr>
        <w:t>的</w:t>
      </w:r>
      <w:r>
        <w:rPr>
          <w:rFonts w:eastAsia="宋体"/>
          <w:bCs/>
          <w:szCs w:val="44"/>
        </w:rPr>
        <w:t>通知</w:t>
      </w:r>
    </w:p>
    <w:p>
      <w:pPr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各学院（部）、各有关单位：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为落实立德树人根本任务，大力推动思政课程和课程思政建设，促进价值引领、知识传授和能力培养的有机结合，构建全员全方位全过程育人的良好格局，根据《关于开展南京邮电大学“思政课程”与 “课程思政”教学竞赛的通知》（教发〔2020〕42号），我校于2020年11月5日举行了“思政课程”与“课程思政”教学竞赛决赛。经过各学院（部）、各有关单位遴选推荐、校级初赛和决赛，共评出特等奖获奖团队4组，一等奖获奖团队8组，二等奖获奖团队14组。现将竞赛结果公布如下（相同获奖等级排序不分先后）:</w:t>
      </w:r>
    </w:p>
    <w:tbl>
      <w:tblPr>
        <w:tblStyle w:val="7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57"/>
        <w:gridCol w:w="2865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团队教师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奖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网络技术与应用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胡素君、李鹏、王雪梅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计算机学院、软件学院、网络空间安全学院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电气控制与可编程控制器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赵勃、徐丰羽、王瑾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自动化学院、人工智能学院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大学物理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张红光、田友伟、李永涛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企业战略管理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王娟、徐侠、周晓剑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数字图像处理与图像通信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唐贵进、崔子冠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通信与信息工程学院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物联网导论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朱云霞、赵之恒、陆音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物联网学院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地图制图学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江畅、安荣荣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地理与生物信息学院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网络传播概论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吴婧婧、袁潇、华维慧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传媒与艺术学院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市场调查与研究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雷晶、孙建敏、张静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毛泽东思想和中国特色社会主义理论体系概论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郑千千、陈凡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啦啦操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杜振中、赵晓靓、郭野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体育部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职业发展与就业指导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吴鹏、鲍捷、王美霞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</w:p>
          <w:p>
            <w:pPr>
              <w:pStyle w:val="3"/>
              <w:jc w:val="center"/>
              <w:rPr>
                <w:rFonts w:hint="eastAsia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奖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MEMS与微系统设计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方玉明、李若舟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instrText xml:space="preserve"> HYPERLINK "http://eoe.njupt.edu.cn/" \t "http://www.njupt.edu.cn/11752/_blank" </w:instrTex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电子与光学工程学院、微电子学院</w:t>
            </w:r>
            <w:r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编译原理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蒋凌云、黄海平、徐康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计算机学院、软件学院、网络空间安全学院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物理化学（上）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唐超、李盼、李谊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人工智能技术与应用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季秋、王怿、李炜卓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现代邮政学院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新媒体作品分析（双语）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陈媛媛、王克祥、卢锋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传媒与艺术学院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国际金融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王卉、张昌兵、王丽萍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思想道德修养与法律基础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张娟、于璐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马克思主义学院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kern w:val="2"/>
          <w:sz w:val="32"/>
          <w:szCs w:val="24"/>
          <w:lang w:val="en-US" w:eastAsia="zh-CN" w:bidi="ar-SA"/>
        </w:rPr>
      </w:pPr>
    </w:p>
    <w:tbl>
      <w:tblPr>
        <w:tblStyle w:val="7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57"/>
        <w:gridCol w:w="2865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团队教师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奖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中国近现代史纲要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李沛霖、金燕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社会学原理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杜伟泉、周晶晶、陆潭晟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社会与人口学院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基础日语Ⅰ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洪洁、高媛、张唐梁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大学生心理健康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唐湘宁、李峻、陆晓花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教育科学与技术学院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金工实习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骆明霞、于谭继、王少丽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工程训练中心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大学物理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陈波、张文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通达学院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张瑜、葛超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通达学院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kern w:val="2"/>
          <w:sz w:val="32"/>
          <w:szCs w:val="24"/>
          <w:lang w:val="en-US" w:eastAsia="zh-CN" w:bidi="ar-S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学校将进一步完善体制机制，推进“思政课程”与“课程思政”建设工作不断迈向新台阶。</w:t>
      </w:r>
    </w:p>
    <w:p>
      <w:pPr>
        <w:spacing w:line="48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5" w:type="dxa"/>
          </w:tcPr>
          <w:p>
            <w:pPr>
              <w:wordWrap w:val="0"/>
              <w:jc w:val="right"/>
            </w:pPr>
            <w:r>
              <w:rPr>
                <w:rFonts w:hint="eastAsia"/>
                <w:sz w:val="32"/>
                <w:szCs w:val="32"/>
              </w:rPr>
              <w:t xml:space="preserve">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355" w:type="dxa"/>
          </w:tcPr>
          <w:p/>
        </w:tc>
      </w:tr>
    </w:tbl>
    <w:p>
      <w:pPr>
        <w:spacing w:line="48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>
      <w:pPr>
        <w:pStyle w:val="3"/>
        <w:ind w:firstLine="643" w:firstLineChars="200"/>
        <w:rPr>
          <w:rFonts w:hint="eastAsia" w:ascii="Times New Roman" w:hAnsi="Times New Roman" w:eastAsia="仿宋_GB2312"/>
          <w:b/>
          <w:bCs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3" w:firstLineChars="200"/>
        <w:rPr>
          <w:rFonts w:hint="eastAsia" w:ascii="Times New Roman" w:hAnsi="Times New Roman" w:eastAsia="仿宋_GB2312"/>
          <w:b/>
          <w:bCs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3" w:firstLineChars="200"/>
        <w:rPr>
          <w:rFonts w:hint="eastAsia" w:ascii="Times New Roman" w:hAnsi="Times New Roman" w:eastAsia="仿宋_GB2312"/>
          <w:b/>
          <w:bCs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3" w:firstLineChars="200"/>
        <w:rPr>
          <w:rFonts w:hint="eastAsia" w:ascii="Times New Roman" w:hAnsi="Times New Roman" w:eastAsia="仿宋_GB2312"/>
          <w:b/>
          <w:bCs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3" w:firstLineChars="200"/>
        <w:rPr>
          <w:rFonts w:hint="eastAsia" w:ascii="Times New Roman" w:hAnsi="Times New Roman" w:eastAsia="仿宋_GB2312"/>
          <w:b/>
          <w:bCs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3" w:firstLineChars="200"/>
        <w:rPr>
          <w:rFonts w:hint="eastAsia" w:ascii="Times New Roman" w:hAnsi="Times New Roman" w:eastAsia="仿宋_GB2312"/>
          <w:b/>
          <w:bCs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3" w:firstLineChars="200"/>
        <w:rPr>
          <w:rFonts w:hint="eastAsia" w:ascii="Times New Roman" w:hAnsi="Times New Roman"/>
          <w:b/>
          <w:bCs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24"/>
          <w:lang w:val="en-US" w:eastAsia="zh-CN" w:bidi="ar-SA"/>
        </w:rPr>
      </w:pPr>
    </w:p>
    <w:p>
      <w:pPr>
        <w:pStyle w:val="3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24"/>
          <w:lang w:val="en-US" w:eastAsia="zh-CN" w:bidi="ar-SA"/>
        </w:rPr>
      </w:pPr>
    </w:p>
    <w:p>
      <w:pPr>
        <w:spacing w:line="48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pPr w:leftFromText="180" w:rightFromText="180" w:vertAnchor="text" w:horzAnchor="page" w:tblpX="1732" w:tblpY="604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4680"/>
        <w:gridCol w:w="379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8838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tabs>
                <w:tab w:val="left" w:pos="5598"/>
              </w:tabs>
              <w:adjustRightInd w:val="0"/>
              <w:snapToGrid w:val="0"/>
              <w:ind w:right="298"/>
              <w:rPr>
                <w:rFonts w:hint="eastAsia" w:eastAsia="黑体"/>
                <w:b/>
              </w:rPr>
            </w:pPr>
            <w:r>
              <w:rPr>
                <w:rFonts w:hint="eastAsia" w:eastAsia="黑体"/>
                <w:b/>
                <w:bCs/>
                <w:sz w:val="32"/>
                <w:szCs w:val="32"/>
              </w:rPr>
              <w:t>主题词：</w:t>
            </w:r>
            <w:r>
              <w:rPr>
                <w:rFonts w:hint="eastAsia" w:eastAsia="黑体"/>
                <w:b/>
                <w:bCs/>
                <w:sz w:val="32"/>
                <w:szCs w:val="32"/>
                <w:lang w:val="en-US" w:eastAsia="zh-CN"/>
              </w:rPr>
              <w:t>思政课程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eastAsia="黑体"/>
                <w:b/>
                <w:bCs/>
                <w:sz w:val="32"/>
                <w:szCs w:val="32"/>
                <w:lang w:val="en-US" w:eastAsia="zh-CN"/>
              </w:rPr>
              <w:t>课程思政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eastAsia="黑体"/>
                <w:b/>
                <w:bCs/>
                <w:sz w:val="32"/>
                <w:szCs w:val="32"/>
                <w:lang w:val="en-US" w:eastAsia="zh-CN"/>
              </w:rPr>
              <w:t>教学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>竞赛  结果  通知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3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598"/>
              </w:tabs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598"/>
              </w:tabs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南京邮电大学校长办公室</w:t>
            </w:r>
          </w:p>
        </w:tc>
        <w:tc>
          <w:tcPr>
            <w:tcW w:w="37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598"/>
              </w:tabs>
              <w:adjustRightInd w:val="0"/>
              <w:snapToGrid w:val="0"/>
              <w:ind w:right="298" w:firstLine="320" w:firstLineChars="100"/>
              <w:jc w:val="center"/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日印发</w:t>
            </w:r>
          </w:p>
        </w:tc>
      </w:tr>
    </w:tbl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9"/>
        <w:rFonts w:hint="eastAsia" w:ascii="仿宋_GB2312"/>
        <w:sz w:val="28"/>
      </w:rPr>
      <w:t>─</w:t>
    </w:r>
    <w:r>
      <w:rPr>
        <w:rStyle w:val="9"/>
        <w:rFonts w:hint="eastAsia"/>
        <w:sz w:val="28"/>
      </w:rPr>
      <w:t>　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4</w:t>
    </w:r>
    <w:r>
      <w:rPr>
        <w:sz w:val="28"/>
      </w:rPr>
      <w:fldChar w:fldCharType="end"/>
    </w:r>
    <w:r>
      <w:rPr>
        <w:rStyle w:val="9"/>
        <w:rFonts w:hint="eastAsia"/>
        <w:sz w:val="28"/>
      </w:rPr>
      <w:t>　</w:t>
    </w:r>
    <w:r>
      <w:rPr>
        <w:rStyle w:val="9"/>
        <w:rFonts w:hint="eastAsia" w:ascii="仿宋_GB2312"/>
        <w:sz w:val="28"/>
      </w:rPr>
      <w:t>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sbAwMTQzNza0NDZU0lEKTi0uzszPAykwrAUATW4OXSwAAAA="/>
  </w:docVars>
  <w:rsids>
    <w:rsidRoot w:val="0097750A"/>
    <w:rsid w:val="00030E7B"/>
    <w:rsid w:val="00047A6F"/>
    <w:rsid w:val="000D1E5D"/>
    <w:rsid w:val="000F39DB"/>
    <w:rsid w:val="001427DF"/>
    <w:rsid w:val="00170CAC"/>
    <w:rsid w:val="00234758"/>
    <w:rsid w:val="00332FF0"/>
    <w:rsid w:val="00356EE6"/>
    <w:rsid w:val="003605DB"/>
    <w:rsid w:val="00385E94"/>
    <w:rsid w:val="003B7BF7"/>
    <w:rsid w:val="00402E63"/>
    <w:rsid w:val="00433F43"/>
    <w:rsid w:val="00467DE6"/>
    <w:rsid w:val="004A06E4"/>
    <w:rsid w:val="004D6371"/>
    <w:rsid w:val="004E6B1F"/>
    <w:rsid w:val="005135B1"/>
    <w:rsid w:val="00572935"/>
    <w:rsid w:val="00615EB3"/>
    <w:rsid w:val="00682EBE"/>
    <w:rsid w:val="00722282"/>
    <w:rsid w:val="00737FF8"/>
    <w:rsid w:val="00765CC8"/>
    <w:rsid w:val="007812CA"/>
    <w:rsid w:val="0079129B"/>
    <w:rsid w:val="007938B2"/>
    <w:rsid w:val="00794F40"/>
    <w:rsid w:val="007A6ADC"/>
    <w:rsid w:val="007F5125"/>
    <w:rsid w:val="00841114"/>
    <w:rsid w:val="0091192B"/>
    <w:rsid w:val="009236F9"/>
    <w:rsid w:val="0096340A"/>
    <w:rsid w:val="009770D4"/>
    <w:rsid w:val="0097750A"/>
    <w:rsid w:val="009A73F0"/>
    <w:rsid w:val="009D1676"/>
    <w:rsid w:val="009F30C7"/>
    <w:rsid w:val="00A35D30"/>
    <w:rsid w:val="00A65290"/>
    <w:rsid w:val="00B42C9A"/>
    <w:rsid w:val="00B525D6"/>
    <w:rsid w:val="00B94CC7"/>
    <w:rsid w:val="00BB787F"/>
    <w:rsid w:val="00C240CF"/>
    <w:rsid w:val="00C7311F"/>
    <w:rsid w:val="00CF7A30"/>
    <w:rsid w:val="00D178D3"/>
    <w:rsid w:val="00D50E51"/>
    <w:rsid w:val="00DB6BF9"/>
    <w:rsid w:val="00DF4537"/>
    <w:rsid w:val="00E10445"/>
    <w:rsid w:val="00E75B1B"/>
    <w:rsid w:val="00EF0DBB"/>
    <w:rsid w:val="00F33FA1"/>
    <w:rsid w:val="00F90CC5"/>
    <w:rsid w:val="00FF7666"/>
    <w:rsid w:val="03331D8F"/>
    <w:rsid w:val="035B2126"/>
    <w:rsid w:val="040779F5"/>
    <w:rsid w:val="143946BE"/>
    <w:rsid w:val="1EC77719"/>
    <w:rsid w:val="2E1A713A"/>
    <w:rsid w:val="38F20478"/>
    <w:rsid w:val="426C13F8"/>
    <w:rsid w:val="577341EA"/>
    <w:rsid w:val="5FD95CF0"/>
    <w:rsid w:val="625F7559"/>
    <w:rsid w:val="62F866E1"/>
    <w:rsid w:val="641F3EEA"/>
    <w:rsid w:val="65E7125E"/>
    <w:rsid w:val="666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276</Words>
  <Characters>1574</Characters>
  <Lines>13</Lines>
  <Paragraphs>3</Paragraphs>
  <TotalTime>2</TotalTime>
  <ScaleCrop>false</ScaleCrop>
  <LinksUpToDate>false</LinksUpToDate>
  <CharactersWithSpaces>1847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2019-05-20T01:25:00Z</dcterms:created>
  <dc:creator>liyt</dc:creator>
  <cp:lastModifiedBy>cheyan</cp:lastModifiedBy>
  <cp:lastPrinted>2020-11-12T06:13:00Z</cp:lastPrinted>
  <dcterms:modified xsi:type="dcterms:W3CDTF">2020-11-23T03:19:10Z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